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31" w:rsidRDefault="000A0A96">
      <w:pPr>
        <w:spacing w:line="240" w:lineRule="auto"/>
        <w:ind w:left="0" w:hanging="2"/>
        <w:jc w:val="both"/>
      </w:pPr>
      <w:bookmarkStart w:id="0" w:name="_GoBack"/>
      <w:bookmarkEnd w:id="0"/>
      <w:r>
        <w:t>________________________________________________________________________________</w:t>
      </w:r>
    </w:p>
    <w:p w:rsidR="00895731" w:rsidRDefault="000A0A96">
      <w:pPr>
        <w:spacing w:line="240" w:lineRule="auto"/>
        <w:ind w:left="0" w:hanging="2"/>
        <w:jc w:val="both"/>
      </w:pPr>
      <w:r>
        <w:rPr>
          <w:rFonts w:ascii="Arial" w:eastAsia="Arial" w:hAnsi="Arial" w:cs="Arial"/>
          <w:sz w:val="16"/>
          <w:szCs w:val="16"/>
        </w:rPr>
        <w:t>Apdo. 474-2050</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               Tel: 2527-2000 Ext. 2283 San Pedro, Montes de Oca</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               Telefax: 2253-5657 </w:t>
      </w:r>
      <w:hyperlink r:id="rId7">
        <w:r>
          <w:rPr>
            <w:rFonts w:ascii="Arial" w:eastAsia="Arial" w:hAnsi="Arial" w:cs="Arial"/>
            <w:color w:val="000000"/>
            <w:sz w:val="16"/>
            <w:szCs w:val="16"/>
            <w:u w:val="single"/>
          </w:rPr>
          <w:t>ashing@uned.ac.cr</w:t>
        </w:r>
      </w:hyperlink>
    </w:p>
    <w:p w:rsidR="00895731" w:rsidRDefault="00895731">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PARA</w:t>
      </w:r>
      <w:r>
        <w:rPr>
          <w:rFonts w:ascii="Arial" w:eastAsia="Arial" w:hAnsi="Arial" w:cs="Arial"/>
          <w:color w:val="000000"/>
          <w:sz w:val="24"/>
          <w:szCs w:val="24"/>
        </w:rPr>
        <w:t>:</w:t>
      </w:r>
      <w:r>
        <w:rPr>
          <w:rFonts w:ascii="Arial" w:eastAsia="Arial" w:hAnsi="Arial" w:cs="Arial"/>
          <w:color w:val="000000"/>
          <w:sz w:val="24"/>
          <w:szCs w:val="24"/>
        </w:rPr>
        <w:tab/>
        <w:t>Rodrigo Arias Camacho, rector</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t>Consejo de Rectoría</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t>Delio Mora Campos, vicerrector a.i. Ejecutivo</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t>Raquel Zeledón Sánchez, directora a.i. de Asuntos Estudiantiles</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t>César Alvarado Arguedas, presidente FEUNED</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t>Sonia Vega Li, defenso</w:t>
      </w:r>
      <w:r>
        <w:rPr>
          <w:rFonts w:ascii="Arial" w:eastAsia="Arial" w:hAnsi="Arial" w:cs="Arial"/>
          <w:color w:val="000000"/>
          <w:sz w:val="24"/>
          <w:szCs w:val="24"/>
        </w:rPr>
        <w:t>ra a.i. de los Estudiantes</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t>Susana Saborío Álvarez, jefa a.i. Oficina Registro y Administración Estudiantil</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t>Silvia Barrenechea Azofeifa, jefa a.i. Oficina Atención Socioeconómica</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t>Róger Jiménez Morales, jefe a.i. Oficina de Tesorería</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t>Delio Mora Campos, d</w:t>
      </w:r>
      <w:r>
        <w:rPr>
          <w:rFonts w:ascii="Arial" w:eastAsia="Arial" w:hAnsi="Arial" w:cs="Arial"/>
          <w:color w:val="000000"/>
          <w:sz w:val="24"/>
          <w:szCs w:val="24"/>
        </w:rPr>
        <w:t xml:space="preserve">irector Financiero a.i. </w:t>
      </w:r>
    </w:p>
    <w:p w:rsidR="00895731" w:rsidRDefault="000A0A96">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ab/>
        <w:t>Guisella Vargas Vargas, directora Escuela Ciencias Exactas y Naturales</w:t>
      </w:r>
    </w:p>
    <w:p w:rsidR="00895731" w:rsidRDefault="000A0A96">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ab/>
        <w:t>Federico Li Bonilla, director Escuela Ciencias de la Administración</w:t>
      </w:r>
    </w:p>
    <w:p w:rsidR="00895731" w:rsidRDefault="000A0A96">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ab/>
        <w:t>Linda Madriz Bermúdez, directora Escuela Ciencias Educación</w:t>
      </w:r>
    </w:p>
    <w:p w:rsidR="00895731" w:rsidRDefault="000A0A96">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Floreny Ulate Artavia, directora Escuela Ciencias Sociales y Humanidades</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t>Javier Ureña Picado, director a.i. Extensión Universitaria</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Ana Cristina Umaña, directora a.i. Sistema de Estudios de Posgrado</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Heidy Aguirre Guadamuz, jefe a.i. Centro de Información y Documentación Institucional (CIDREB)</w:t>
      </w:r>
    </w:p>
    <w:p w:rsidR="00895731" w:rsidRDefault="00895731">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DE:</w:t>
      </w:r>
      <w:r>
        <w:rPr>
          <w:rFonts w:ascii="Arial" w:eastAsia="Arial" w:hAnsi="Arial" w:cs="Arial"/>
          <w:b/>
          <w:color w:val="000000"/>
          <w:sz w:val="24"/>
          <w:szCs w:val="24"/>
        </w:rPr>
        <w:tab/>
      </w:r>
      <w:r>
        <w:rPr>
          <w:rFonts w:ascii="Arial" w:eastAsia="Arial" w:hAnsi="Arial" w:cs="Arial"/>
          <w:color w:val="000000"/>
          <w:sz w:val="24"/>
          <w:szCs w:val="24"/>
        </w:rPr>
        <w:tab/>
        <w:t>Ana Myriam Shing Sáenz, coordinadora general</w:t>
      </w: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Secretaría Consejo Universitario</w:t>
      </w:r>
    </w:p>
    <w:p w:rsidR="00895731" w:rsidRDefault="00895731">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FECHA:</w:t>
      </w:r>
      <w:r>
        <w:rPr>
          <w:rFonts w:ascii="Arial" w:eastAsia="Arial" w:hAnsi="Arial" w:cs="Arial"/>
          <w:color w:val="000000"/>
          <w:sz w:val="24"/>
          <w:szCs w:val="24"/>
        </w:rPr>
        <w:tab/>
        <w:t>07 de diciembre de 2020</w:t>
      </w:r>
    </w:p>
    <w:p w:rsidR="00895731" w:rsidRDefault="00895731">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895731" w:rsidRDefault="000A0A96">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bookmarkStart w:id="1" w:name="_gjdgxs" w:colFirst="0" w:colLast="0"/>
      <w:bookmarkEnd w:id="1"/>
      <w:r>
        <w:rPr>
          <w:rFonts w:ascii="Arial" w:eastAsia="Arial" w:hAnsi="Arial" w:cs="Arial"/>
          <w:b/>
          <w:color w:val="000000"/>
          <w:sz w:val="24"/>
          <w:szCs w:val="24"/>
        </w:rPr>
        <w:t>REF:</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color w:val="000000"/>
          <w:sz w:val="24"/>
          <w:szCs w:val="24"/>
        </w:rPr>
        <w:t>CU-2020-609</w:t>
      </w:r>
    </w:p>
    <w:p w:rsidR="00895731" w:rsidRDefault="00895731">
      <w:pPr>
        <w:spacing w:after="0" w:line="240" w:lineRule="auto"/>
        <w:ind w:left="0" w:right="-1" w:hanging="2"/>
        <w:jc w:val="both"/>
        <w:rPr>
          <w:rFonts w:ascii="Arial" w:eastAsia="Arial" w:hAnsi="Arial" w:cs="Arial"/>
          <w:sz w:val="24"/>
          <w:szCs w:val="24"/>
        </w:rPr>
      </w:pPr>
    </w:p>
    <w:p w:rsidR="00895731" w:rsidRDefault="000A0A96">
      <w:pPr>
        <w:spacing w:after="0" w:line="240" w:lineRule="auto"/>
        <w:ind w:left="0" w:right="-1" w:hanging="2"/>
        <w:jc w:val="both"/>
        <w:rPr>
          <w:rFonts w:ascii="Arial" w:eastAsia="Arial" w:hAnsi="Arial" w:cs="Arial"/>
          <w:sz w:val="24"/>
          <w:szCs w:val="24"/>
        </w:rPr>
      </w:pPr>
      <w:bookmarkStart w:id="2" w:name="_30j0zll" w:colFirst="0" w:colLast="0"/>
      <w:bookmarkEnd w:id="2"/>
      <w:r>
        <w:rPr>
          <w:rFonts w:ascii="Arial" w:eastAsia="Arial" w:hAnsi="Arial" w:cs="Arial"/>
          <w:sz w:val="24"/>
          <w:szCs w:val="24"/>
        </w:rPr>
        <w:t>Les transcribo el acuerdo tomado por el Consejo Universitario, en sesión 2835-2020, Art. III, inciso 5) celebrada el 03 de diciembre de 2020:</w:t>
      </w:r>
    </w:p>
    <w:p w:rsidR="00895731" w:rsidRDefault="00895731">
      <w:pPr>
        <w:numPr>
          <w:ilvl w:val="0"/>
          <w:numId w:val="1"/>
        </w:numPr>
        <w:pBdr>
          <w:top w:val="nil"/>
          <w:left w:val="nil"/>
          <w:bottom w:val="nil"/>
          <w:right w:val="nil"/>
          <w:between w:val="nil"/>
        </w:pBdr>
        <w:spacing w:after="0" w:line="240" w:lineRule="auto"/>
        <w:ind w:left="0" w:right="335" w:hanging="2"/>
        <w:contextualSpacing/>
        <w:jc w:val="both"/>
        <w:rPr>
          <w:color w:val="000000"/>
        </w:rPr>
      </w:pPr>
    </w:p>
    <w:p w:rsidR="00895731" w:rsidRDefault="000A0A96">
      <w:pPr>
        <w:pBdr>
          <w:top w:val="nil"/>
          <w:left w:val="nil"/>
          <w:bottom w:val="nil"/>
          <w:right w:val="nil"/>
          <w:between w:val="nil"/>
        </w:pBdr>
        <w:spacing w:after="0" w:line="240" w:lineRule="auto"/>
        <w:ind w:left="0" w:right="333" w:hanging="2"/>
        <w:rPr>
          <w:rFonts w:ascii="Arial" w:eastAsia="Arial" w:hAnsi="Arial" w:cs="Arial"/>
          <w:color w:val="000000"/>
          <w:sz w:val="24"/>
          <w:szCs w:val="24"/>
        </w:rPr>
      </w:pPr>
      <w:r>
        <w:rPr>
          <w:rFonts w:ascii="Arial" w:eastAsia="Arial" w:hAnsi="Arial" w:cs="Arial"/>
          <w:b/>
          <w:color w:val="000000"/>
          <w:sz w:val="24"/>
          <w:szCs w:val="24"/>
        </w:rPr>
        <w:t>CONSIDERANDO:</w:t>
      </w:r>
    </w:p>
    <w:p w:rsidR="00895731" w:rsidRDefault="00895731">
      <w:pPr>
        <w:pBdr>
          <w:top w:val="nil"/>
          <w:left w:val="nil"/>
          <w:bottom w:val="nil"/>
          <w:right w:val="nil"/>
          <w:between w:val="nil"/>
        </w:pBdr>
        <w:spacing w:after="0" w:line="240" w:lineRule="auto"/>
        <w:ind w:left="0" w:right="333" w:hanging="2"/>
        <w:rPr>
          <w:rFonts w:ascii="Arial" w:eastAsia="Arial" w:hAnsi="Arial" w:cs="Arial"/>
          <w:color w:val="000000"/>
          <w:sz w:val="24"/>
          <w:szCs w:val="24"/>
        </w:rPr>
      </w:pPr>
      <w:bookmarkStart w:id="3" w:name="_1fob9te" w:colFirst="0" w:colLast="0"/>
      <w:bookmarkEnd w:id="3"/>
    </w:p>
    <w:p w:rsidR="00895731" w:rsidRDefault="000A0A96">
      <w:pPr>
        <w:numPr>
          <w:ilvl w:val="0"/>
          <w:numId w:val="3"/>
        </w:numPr>
        <w:pBdr>
          <w:top w:val="nil"/>
          <w:left w:val="nil"/>
          <w:bottom w:val="nil"/>
          <w:right w:val="nil"/>
          <w:between w:val="nil"/>
        </w:pBdr>
        <w:spacing w:after="0" w:line="240" w:lineRule="auto"/>
        <w:ind w:left="0" w:right="333" w:hanging="2"/>
        <w:jc w:val="both"/>
        <w:rPr>
          <w:rFonts w:ascii="Arial" w:eastAsia="Arial" w:hAnsi="Arial" w:cs="Arial"/>
          <w:color w:val="000000"/>
          <w:sz w:val="24"/>
          <w:szCs w:val="24"/>
        </w:rPr>
      </w:pPr>
      <w:r>
        <w:rPr>
          <w:rFonts w:ascii="Arial" w:eastAsia="Arial" w:hAnsi="Arial" w:cs="Arial"/>
          <w:b/>
          <w:color w:val="000000"/>
          <w:sz w:val="24"/>
          <w:szCs w:val="24"/>
        </w:rPr>
        <w:t>El oficio CR-2020-2202 del 1 de diciembre del 2020 (REF. CU-1053-2020), en el que se transcribe el acuerdo tomado por el Consejo de Rectoría (CONRE), en sesión 2132-2020, Artículo II, inciso 22) celebrada el 23 de noviembre del 2020, en el que, en atención</w:t>
      </w:r>
      <w:r>
        <w:rPr>
          <w:rFonts w:ascii="Arial" w:eastAsia="Arial" w:hAnsi="Arial" w:cs="Arial"/>
          <w:b/>
          <w:color w:val="000000"/>
          <w:sz w:val="24"/>
          <w:szCs w:val="24"/>
        </w:rPr>
        <w:t xml:space="preserve"> a lo solicitado por la Dirección de Asuntos Estudiantiles (DAES), mediante oficio DAES-252-2020 del 17 de noviembre del 2020, se aprueban medidas de apoyo para las personas </w:t>
      </w:r>
      <w:r>
        <w:rPr>
          <w:rFonts w:ascii="Arial" w:eastAsia="Arial" w:hAnsi="Arial" w:cs="Arial"/>
          <w:b/>
          <w:color w:val="000000"/>
          <w:sz w:val="24"/>
          <w:szCs w:val="24"/>
        </w:rPr>
        <w:lastRenderedPageBreak/>
        <w:t>estudiantes para el I cuatrimestre del 2021, y solicita su ratificación al Consejo</w:t>
      </w:r>
      <w:r>
        <w:rPr>
          <w:rFonts w:ascii="Arial" w:eastAsia="Arial" w:hAnsi="Arial" w:cs="Arial"/>
          <w:b/>
          <w:color w:val="000000"/>
          <w:sz w:val="24"/>
          <w:szCs w:val="24"/>
        </w:rPr>
        <w:t xml:space="preserve"> Universitario.</w:t>
      </w:r>
    </w:p>
    <w:p w:rsidR="00895731" w:rsidRDefault="00895731">
      <w:pPr>
        <w:pBdr>
          <w:top w:val="nil"/>
          <w:left w:val="nil"/>
          <w:bottom w:val="nil"/>
          <w:right w:val="nil"/>
          <w:between w:val="nil"/>
        </w:pBdr>
        <w:spacing w:after="0" w:line="240" w:lineRule="auto"/>
        <w:ind w:left="0" w:right="333" w:hanging="2"/>
        <w:rPr>
          <w:rFonts w:ascii="Arial" w:eastAsia="Arial" w:hAnsi="Arial" w:cs="Arial"/>
          <w:color w:val="000000"/>
          <w:sz w:val="24"/>
          <w:szCs w:val="24"/>
        </w:rPr>
      </w:pPr>
    </w:p>
    <w:p w:rsidR="00895731" w:rsidRDefault="000A0A96">
      <w:pPr>
        <w:numPr>
          <w:ilvl w:val="0"/>
          <w:numId w:val="3"/>
        </w:numPr>
        <w:pBdr>
          <w:top w:val="nil"/>
          <w:left w:val="nil"/>
          <w:bottom w:val="nil"/>
          <w:right w:val="nil"/>
          <w:between w:val="nil"/>
        </w:pBdr>
        <w:spacing w:after="0" w:line="240" w:lineRule="auto"/>
        <w:ind w:left="0" w:right="333" w:hanging="2"/>
        <w:jc w:val="both"/>
        <w:rPr>
          <w:rFonts w:ascii="Arial" w:eastAsia="Arial" w:hAnsi="Arial" w:cs="Arial"/>
          <w:color w:val="000000"/>
          <w:sz w:val="24"/>
          <w:szCs w:val="24"/>
        </w:rPr>
      </w:pPr>
      <w:r>
        <w:rPr>
          <w:rFonts w:ascii="Arial" w:eastAsia="Arial" w:hAnsi="Arial" w:cs="Arial"/>
          <w:b/>
          <w:color w:val="000000"/>
          <w:sz w:val="24"/>
          <w:szCs w:val="24"/>
        </w:rPr>
        <w:t>El acuerdo del Consejo Universitario aprobado en la sesión 2804-2020, Art. IV, inciso 11), celebrada el 21 de mayo del 2020, para apoyar la permanencia de los estudiantes en la Universidad, durante el período lectivo 2020.</w:t>
      </w:r>
    </w:p>
    <w:p w:rsidR="00895731" w:rsidRDefault="00895731">
      <w:pPr>
        <w:pBdr>
          <w:top w:val="nil"/>
          <w:left w:val="nil"/>
          <w:bottom w:val="nil"/>
          <w:right w:val="nil"/>
          <w:between w:val="nil"/>
        </w:pBdr>
        <w:spacing w:after="0" w:line="240" w:lineRule="auto"/>
        <w:ind w:left="0" w:right="333" w:hanging="2"/>
        <w:rPr>
          <w:rFonts w:ascii="Arial" w:eastAsia="Arial" w:hAnsi="Arial" w:cs="Arial"/>
          <w:color w:val="000000"/>
          <w:sz w:val="24"/>
          <w:szCs w:val="24"/>
        </w:rPr>
      </w:pPr>
    </w:p>
    <w:p w:rsidR="00895731" w:rsidRDefault="000A0A96">
      <w:pPr>
        <w:numPr>
          <w:ilvl w:val="0"/>
          <w:numId w:val="3"/>
        </w:numPr>
        <w:pBdr>
          <w:top w:val="nil"/>
          <w:left w:val="nil"/>
          <w:bottom w:val="nil"/>
          <w:right w:val="nil"/>
          <w:between w:val="nil"/>
        </w:pBdr>
        <w:spacing w:after="0" w:line="240" w:lineRule="auto"/>
        <w:ind w:left="0" w:right="333" w:hanging="2"/>
        <w:jc w:val="both"/>
        <w:rPr>
          <w:rFonts w:ascii="Arial" w:eastAsia="Arial" w:hAnsi="Arial" w:cs="Arial"/>
          <w:color w:val="000000"/>
          <w:sz w:val="24"/>
          <w:szCs w:val="24"/>
        </w:rPr>
      </w:pPr>
      <w:r>
        <w:rPr>
          <w:rFonts w:ascii="Arial" w:eastAsia="Arial" w:hAnsi="Arial" w:cs="Arial"/>
          <w:b/>
          <w:color w:val="000000"/>
          <w:sz w:val="24"/>
          <w:szCs w:val="24"/>
        </w:rPr>
        <w:t>La cuota de actividades estudiantiles para el año 2021 no considera la cuota que corresponde a la Federación de Estudiantes de la UNED (FEUNED).</w:t>
      </w:r>
    </w:p>
    <w:p w:rsidR="00895731" w:rsidRDefault="00895731">
      <w:pPr>
        <w:pBdr>
          <w:top w:val="nil"/>
          <w:left w:val="nil"/>
          <w:bottom w:val="nil"/>
          <w:right w:val="nil"/>
          <w:between w:val="nil"/>
        </w:pBdr>
        <w:spacing w:after="0" w:line="240" w:lineRule="auto"/>
        <w:ind w:left="0" w:right="333" w:hanging="2"/>
        <w:rPr>
          <w:rFonts w:ascii="Arial" w:eastAsia="Arial" w:hAnsi="Arial" w:cs="Arial"/>
          <w:color w:val="000000"/>
          <w:sz w:val="24"/>
          <w:szCs w:val="24"/>
        </w:rPr>
      </w:pPr>
    </w:p>
    <w:p w:rsidR="00895731" w:rsidRDefault="000A0A96">
      <w:pPr>
        <w:pBdr>
          <w:top w:val="nil"/>
          <w:left w:val="nil"/>
          <w:bottom w:val="nil"/>
          <w:right w:val="nil"/>
          <w:between w:val="nil"/>
        </w:pBdr>
        <w:spacing w:after="0" w:line="240" w:lineRule="auto"/>
        <w:ind w:left="0" w:right="333" w:hanging="2"/>
        <w:rPr>
          <w:rFonts w:ascii="Arial" w:eastAsia="Arial" w:hAnsi="Arial" w:cs="Arial"/>
          <w:color w:val="000000"/>
          <w:sz w:val="24"/>
          <w:szCs w:val="24"/>
        </w:rPr>
      </w:pPr>
      <w:r>
        <w:rPr>
          <w:rFonts w:ascii="Arial" w:eastAsia="Arial" w:hAnsi="Arial" w:cs="Arial"/>
          <w:b/>
          <w:color w:val="000000"/>
          <w:sz w:val="24"/>
          <w:szCs w:val="24"/>
        </w:rPr>
        <w:t>SE ACUERDA:</w:t>
      </w:r>
    </w:p>
    <w:p w:rsidR="00895731" w:rsidRDefault="000A0A96">
      <w:pPr>
        <w:pBdr>
          <w:top w:val="nil"/>
          <w:left w:val="nil"/>
          <w:bottom w:val="nil"/>
          <w:right w:val="nil"/>
          <w:between w:val="nil"/>
        </w:pBdr>
        <w:spacing w:before="280" w:after="0" w:line="240" w:lineRule="auto"/>
        <w:ind w:left="0" w:right="333" w:hanging="2"/>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Aprobar para el primer cuatrimestre del 2021 las siguientes medidas económicas de apoyo a las diferentes poblaciones estudiantiles de la Universidad:</w:t>
      </w:r>
    </w:p>
    <w:p w:rsidR="00895731" w:rsidRDefault="0089573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895731" w:rsidRDefault="000A0A96">
      <w:pPr>
        <w:numPr>
          <w:ilvl w:val="0"/>
          <w:numId w:val="2"/>
        </w:numPr>
        <w:pBdr>
          <w:top w:val="nil"/>
          <w:left w:val="nil"/>
          <w:bottom w:val="nil"/>
          <w:right w:val="nil"/>
          <w:between w:val="nil"/>
        </w:pBdr>
        <w:spacing w:after="0" w:line="240" w:lineRule="auto"/>
        <w:ind w:left="0" w:right="283" w:hanging="2"/>
        <w:contextualSpacing/>
        <w:jc w:val="both"/>
        <w:rPr>
          <w:color w:val="000000"/>
        </w:rPr>
      </w:pPr>
      <w:r>
        <w:rPr>
          <w:rFonts w:ascii="Arial" w:eastAsia="Arial" w:hAnsi="Arial" w:cs="Arial"/>
          <w:b/>
          <w:color w:val="000000"/>
          <w:sz w:val="24"/>
          <w:szCs w:val="24"/>
        </w:rPr>
        <w:t xml:space="preserve">Mantener la exoneración de certificaciones del título a recibir para las personas estudiantes próximas a </w:t>
      </w:r>
      <w:r>
        <w:rPr>
          <w:rFonts w:ascii="Arial" w:eastAsia="Arial" w:hAnsi="Arial" w:cs="Arial"/>
          <w:b/>
          <w:color w:val="000000"/>
          <w:sz w:val="24"/>
          <w:szCs w:val="24"/>
        </w:rPr>
        <w:t>graduarse.</w:t>
      </w:r>
    </w:p>
    <w:p w:rsidR="00895731" w:rsidRDefault="00895731">
      <w:pPr>
        <w:pBdr>
          <w:top w:val="nil"/>
          <w:left w:val="nil"/>
          <w:bottom w:val="nil"/>
          <w:right w:val="nil"/>
          <w:between w:val="nil"/>
        </w:pBdr>
        <w:spacing w:after="0" w:line="240" w:lineRule="auto"/>
        <w:ind w:left="0" w:right="283" w:hanging="2"/>
        <w:jc w:val="both"/>
        <w:rPr>
          <w:rFonts w:ascii="Times New Roman" w:eastAsia="Times New Roman" w:hAnsi="Times New Roman" w:cs="Times New Roman"/>
          <w:color w:val="000000"/>
          <w:sz w:val="24"/>
          <w:szCs w:val="24"/>
        </w:rPr>
      </w:pPr>
    </w:p>
    <w:p w:rsidR="00895731" w:rsidRDefault="000A0A96">
      <w:pPr>
        <w:numPr>
          <w:ilvl w:val="0"/>
          <w:numId w:val="2"/>
        </w:numPr>
        <w:pBdr>
          <w:top w:val="nil"/>
          <w:left w:val="nil"/>
          <w:bottom w:val="nil"/>
          <w:right w:val="nil"/>
          <w:between w:val="nil"/>
        </w:pBdr>
        <w:spacing w:after="0" w:line="240" w:lineRule="auto"/>
        <w:ind w:left="0" w:right="283" w:hanging="2"/>
        <w:contextualSpacing/>
        <w:jc w:val="both"/>
        <w:rPr>
          <w:color w:val="000000"/>
        </w:rPr>
      </w:pPr>
      <w:r>
        <w:rPr>
          <w:rFonts w:ascii="Arial" w:eastAsia="Arial" w:hAnsi="Arial" w:cs="Arial"/>
          <w:b/>
          <w:color w:val="000000"/>
          <w:sz w:val="24"/>
          <w:szCs w:val="24"/>
        </w:rPr>
        <w:t xml:space="preserve">Mantener la exoneración de derechos de graduación a la población becaria de forma equivalente con el porcentaje de beca con la que cuenta para el primer cuatrimestre del año 2021. </w:t>
      </w:r>
    </w:p>
    <w:p w:rsidR="00895731" w:rsidRDefault="00895731">
      <w:pPr>
        <w:pBdr>
          <w:top w:val="nil"/>
          <w:left w:val="nil"/>
          <w:bottom w:val="nil"/>
          <w:right w:val="nil"/>
          <w:between w:val="nil"/>
        </w:pBdr>
        <w:spacing w:after="0" w:line="240" w:lineRule="auto"/>
        <w:ind w:left="0" w:right="283" w:hanging="2"/>
        <w:jc w:val="both"/>
        <w:rPr>
          <w:rFonts w:ascii="Times New Roman" w:eastAsia="Times New Roman" w:hAnsi="Times New Roman" w:cs="Times New Roman"/>
          <w:color w:val="000000"/>
          <w:sz w:val="24"/>
          <w:szCs w:val="24"/>
        </w:rPr>
      </w:pPr>
    </w:p>
    <w:p w:rsidR="00895731" w:rsidRDefault="000A0A96">
      <w:pPr>
        <w:numPr>
          <w:ilvl w:val="0"/>
          <w:numId w:val="2"/>
        </w:numPr>
        <w:pBdr>
          <w:top w:val="nil"/>
          <w:left w:val="nil"/>
          <w:bottom w:val="nil"/>
          <w:right w:val="nil"/>
          <w:between w:val="nil"/>
        </w:pBdr>
        <w:spacing w:after="0" w:line="240" w:lineRule="auto"/>
        <w:ind w:left="0" w:right="283" w:hanging="2"/>
        <w:contextualSpacing/>
        <w:jc w:val="both"/>
        <w:rPr>
          <w:color w:val="000000"/>
        </w:rPr>
      </w:pPr>
      <w:r>
        <w:rPr>
          <w:rFonts w:ascii="Arial" w:eastAsia="Arial" w:hAnsi="Arial" w:cs="Arial"/>
          <w:b/>
          <w:color w:val="000000"/>
          <w:sz w:val="24"/>
          <w:szCs w:val="24"/>
        </w:rPr>
        <w:t xml:space="preserve">Mantener la exoneración del arancel de matrícula a la población con algún tipo de beca, excluyendo la cuota estudiantil. </w:t>
      </w:r>
    </w:p>
    <w:p w:rsidR="00895731" w:rsidRDefault="00895731">
      <w:pPr>
        <w:pBdr>
          <w:top w:val="nil"/>
          <w:left w:val="nil"/>
          <w:bottom w:val="nil"/>
          <w:right w:val="nil"/>
          <w:between w:val="nil"/>
        </w:pBdr>
        <w:spacing w:after="0" w:line="240" w:lineRule="auto"/>
        <w:ind w:left="0" w:right="283" w:hanging="2"/>
        <w:jc w:val="both"/>
        <w:rPr>
          <w:rFonts w:ascii="Arial" w:eastAsia="Arial" w:hAnsi="Arial" w:cs="Arial"/>
          <w:color w:val="000000"/>
          <w:sz w:val="24"/>
          <w:szCs w:val="24"/>
        </w:rPr>
      </w:pPr>
    </w:p>
    <w:p w:rsidR="00895731" w:rsidRDefault="000A0A96">
      <w:pPr>
        <w:numPr>
          <w:ilvl w:val="0"/>
          <w:numId w:val="2"/>
        </w:numPr>
        <w:pBdr>
          <w:top w:val="nil"/>
          <w:left w:val="nil"/>
          <w:bottom w:val="nil"/>
          <w:right w:val="nil"/>
          <w:between w:val="nil"/>
        </w:pBdr>
        <w:spacing w:after="0" w:line="240" w:lineRule="auto"/>
        <w:ind w:left="0" w:right="283" w:hanging="2"/>
        <w:contextualSpacing/>
        <w:jc w:val="both"/>
        <w:rPr>
          <w:color w:val="000000"/>
        </w:rPr>
      </w:pPr>
      <w:r>
        <w:rPr>
          <w:rFonts w:ascii="Arial" w:eastAsia="Arial" w:hAnsi="Arial" w:cs="Arial"/>
          <w:b/>
          <w:color w:val="000000"/>
          <w:sz w:val="24"/>
          <w:szCs w:val="24"/>
        </w:rPr>
        <w:t>Mantener la exoneración de la cuota estudiantil a la población con beca socioeconómica categoría A.</w:t>
      </w:r>
    </w:p>
    <w:p w:rsidR="00895731" w:rsidRDefault="00895731">
      <w:pPr>
        <w:pBdr>
          <w:top w:val="nil"/>
          <w:left w:val="nil"/>
          <w:bottom w:val="nil"/>
          <w:right w:val="nil"/>
          <w:between w:val="nil"/>
        </w:pBdr>
        <w:spacing w:after="0" w:line="240" w:lineRule="auto"/>
        <w:ind w:left="0" w:right="283" w:hanging="2"/>
        <w:jc w:val="both"/>
        <w:rPr>
          <w:rFonts w:ascii="Times New Roman" w:eastAsia="Times New Roman" w:hAnsi="Times New Roman" w:cs="Times New Roman"/>
          <w:color w:val="000000"/>
          <w:sz w:val="24"/>
          <w:szCs w:val="24"/>
        </w:rPr>
      </w:pPr>
    </w:p>
    <w:p w:rsidR="00895731" w:rsidRDefault="000A0A96">
      <w:pPr>
        <w:numPr>
          <w:ilvl w:val="0"/>
          <w:numId w:val="2"/>
        </w:numPr>
        <w:pBdr>
          <w:top w:val="nil"/>
          <w:left w:val="nil"/>
          <w:bottom w:val="nil"/>
          <w:right w:val="nil"/>
          <w:between w:val="nil"/>
        </w:pBdr>
        <w:spacing w:after="0" w:line="240" w:lineRule="auto"/>
        <w:ind w:left="0" w:right="283" w:hanging="2"/>
        <w:contextualSpacing/>
        <w:jc w:val="both"/>
        <w:rPr>
          <w:color w:val="000000"/>
        </w:rPr>
      </w:pPr>
      <w:r>
        <w:rPr>
          <w:rFonts w:ascii="Arial" w:eastAsia="Arial" w:hAnsi="Arial" w:cs="Arial"/>
          <w:b/>
          <w:color w:val="000000"/>
          <w:sz w:val="24"/>
          <w:szCs w:val="24"/>
        </w:rPr>
        <w:t>Mantener la autorización para que el Fondo Solidario Estudiantil se utilice para cubrir el pago de conectividad a internet para las personas con beca socioeconómica a las que se les asignó durante el segundo período académico 2020 y que mantengan las condi</w:t>
      </w:r>
      <w:r>
        <w:rPr>
          <w:rFonts w:ascii="Arial" w:eastAsia="Arial" w:hAnsi="Arial" w:cs="Arial"/>
          <w:b/>
          <w:color w:val="000000"/>
          <w:sz w:val="24"/>
          <w:szCs w:val="24"/>
        </w:rPr>
        <w:t>ciones por las cuales se les aprobó, incluyendo a las personas estudiantes de la Dirección de Extensión que se encuentran en esta condición.  Habilitar un nuevo periodo de solicitud de este apoyo aplicable para el primer cuatrimestre de 2021 según los crit</w:t>
      </w:r>
      <w:r>
        <w:rPr>
          <w:rFonts w:ascii="Arial" w:eastAsia="Arial" w:hAnsi="Arial" w:cs="Arial"/>
          <w:b/>
          <w:color w:val="000000"/>
          <w:sz w:val="24"/>
          <w:szCs w:val="24"/>
        </w:rPr>
        <w:t>erios establecidos por la Oficina de Atención Socioeconómica.</w:t>
      </w:r>
    </w:p>
    <w:p w:rsidR="00895731" w:rsidRDefault="00895731">
      <w:pPr>
        <w:pBdr>
          <w:top w:val="nil"/>
          <w:left w:val="nil"/>
          <w:bottom w:val="nil"/>
          <w:right w:val="nil"/>
          <w:between w:val="nil"/>
        </w:pBdr>
        <w:spacing w:after="0" w:line="240" w:lineRule="auto"/>
        <w:ind w:left="0" w:right="283" w:hanging="2"/>
        <w:jc w:val="both"/>
        <w:rPr>
          <w:rFonts w:ascii="Times New Roman" w:eastAsia="Times New Roman" w:hAnsi="Times New Roman" w:cs="Times New Roman"/>
          <w:color w:val="000000"/>
          <w:sz w:val="24"/>
          <w:szCs w:val="24"/>
        </w:rPr>
      </w:pPr>
    </w:p>
    <w:p w:rsidR="00895731" w:rsidRDefault="000A0A96">
      <w:pPr>
        <w:numPr>
          <w:ilvl w:val="0"/>
          <w:numId w:val="2"/>
        </w:numPr>
        <w:pBdr>
          <w:top w:val="nil"/>
          <w:left w:val="nil"/>
          <w:bottom w:val="nil"/>
          <w:right w:val="nil"/>
          <w:between w:val="nil"/>
        </w:pBdr>
        <w:spacing w:after="0" w:line="240" w:lineRule="auto"/>
        <w:ind w:left="0" w:right="283" w:hanging="2"/>
        <w:contextualSpacing/>
        <w:jc w:val="both"/>
        <w:rPr>
          <w:color w:val="000000"/>
        </w:rPr>
      </w:pPr>
      <w:r>
        <w:rPr>
          <w:rFonts w:ascii="Arial" w:eastAsia="Arial" w:hAnsi="Arial" w:cs="Arial"/>
          <w:b/>
          <w:color w:val="000000"/>
          <w:sz w:val="24"/>
          <w:szCs w:val="24"/>
        </w:rPr>
        <w:t>Mantener la suspensión de la aplicación de los artículos 19 y 20 del Reglamento a Becas a Estudiantes de pregrado y grado de la UNED, en el I cuatrimestre del 2021.</w:t>
      </w:r>
    </w:p>
    <w:p w:rsidR="00895731" w:rsidRDefault="00895731">
      <w:pPr>
        <w:pBdr>
          <w:top w:val="nil"/>
          <w:left w:val="nil"/>
          <w:bottom w:val="nil"/>
          <w:right w:val="nil"/>
          <w:between w:val="nil"/>
        </w:pBdr>
        <w:spacing w:after="0" w:line="240" w:lineRule="auto"/>
        <w:ind w:left="0" w:right="283" w:hanging="2"/>
        <w:jc w:val="both"/>
        <w:rPr>
          <w:rFonts w:ascii="Times New Roman" w:eastAsia="Times New Roman" w:hAnsi="Times New Roman" w:cs="Times New Roman"/>
          <w:color w:val="000000"/>
          <w:sz w:val="24"/>
          <w:szCs w:val="24"/>
        </w:rPr>
      </w:pPr>
    </w:p>
    <w:p w:rsidR="00895731" w:rsidRDefault="000A0A96">
      <w:pPr>
        <w:numPr>
          <w:ilvl w:val="0"/>
          <w:numId w:val="2"/>
        </w:numPr>
        <w:pBdr>
          <w:top w:val="nil"/>
          <w:left w:val="nil"/>
          <w:bottom w:val="nil"/>
          <w:right w:val="nil"/>
          <w:between w:val="nil"/>
        </w:pBdr>
        <w:spacing w:after="0" w:line="240" w:lineRule="auto"/>
        <w:ind w:left="0" w:right="283" w:hanging="2"/>
        <w:contextualSpacing/>
        <w:jc w:val="both"/>
        <w:rPr>
          <w:color w:val="000000"/>
        </w:rPr>
      </w:pPr>
      <w:r>
        <w:rPr>
          <w:rFonts w:ascii="Arial" w:eastAsia="Arial" w:hAnsi="Arial" w:cs="Arial"/>
          <w:b/>
          <w:color w:val="000000"/>
          <w:sz w:val="24"/>
          <w:szCs w:val="24"/>
        </w:rPr>
        <w:t>Aplicar un descuento del 35% en los aranceles de cada asignatura de los programas de posgrado en el primer cuatrimestre 2021, para las personas estudiantes que han visto afectada su situación económica, verificada por la instancia correspondiente de la Uni</w:t>
      </w:r>
      <w:r>
        <w:rPr>
          <w:rFonts w:ascii="Arial" w:eastAsia="Arial" w:hAnsi="Arial" w:cs="Arial"/>
          <w:b/>
          <w:color w:val="000000"/>
          <w:sz w:val="24"/>
          <w:szCs w:val="24"/>
        </w:rPr>
        <w:t>versidad.</w:t>
      </w:r>
    </w:p>
    <w:p w:rsidR="00895731" w:rsidRDefault="00895731">
      <w:pPr>
        <w:pBdr>
          <w:top w:val="nil"/>
          <w:left w:val="nil"/>
          <w:bottom w:val="nil"/>
          <w:right w:val="nil"/>
          <w:between w:val="nil"/>
        </w:pBdr>
        <w:spacing w:after="0" w:line="240" w:lineRule="auto"/>
        <w:ind w:left="0" w:right="283" w:hanging="2"/>
        <w:jc w:val="both"/>
        <w:rPr>
          <w:rFonts w:ascii="Times New Roman" w:eastAsia="Times New Roman" w:hAnsi="Times New Roman" w:cs="Times New Roman"/>
          <w:color w:val="000000"/>
          <w:sz w:val="24"/>
          <w:szCs w:val="24"/>
        </w:rPr>
      </w:pPr>
    </w:p>
    <w:p w:rsidR="00895731" w:rsidRDefault="000A0A96">
      <w:pPr>
        <w:numPr>
          <w:ilvl w:val="0"/>
          <w:numId w:val="2"/>
        </w:numPr>
        <w:pBdr>
          <w:top w:val="nil"/>
          <w:left w:val="nil"/>
          <w:bottom w:val="nil"/>
          <w:right w:val="nil"/>
          <w:between w:val="nil"/>
        </w:pBdr>
        <w:spacing w:after="0" w:line="240" w:lineRule="auto"/>
        <w:ind w:left="0" w:right="283" w:hanging="2"/>
        <w:contextualSpacing/>
        <w:jc w:val="both"/>
        <w:rPr>
          <w:color w:val="000000"/>
        </w:rPr>
      </w:pPr>
      <w:r>
        <w:rPr>
          <w:rFonts w:ascii="Arial" w:eastAsia="Arial" w:hAnsi="Arial" w:cs="Arial"/>
          <w:b/>
          <w:color w:val="000000"/>
          <w:sz w:val="24"/>
          <w:szCs w:val="24"/>
        </w:rPr>
        <w:t>Extender para el año 2021, la vigencia del transitorio del Reglamento de Pago Diferido para Estudiantes de la UNED:</w:t>
      </w:r>
    </w:p>
    <w:p w:rsidR="00895731" w:rsidRDefault="0089573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895731" w:rsidRDefault="000A0A96">
      <w:pPr>
        <w:pBdr>
          <w:top w:val="nil"/>
          <w:left w:val="nil"/>
          <w:bottom w:val="nil"/>
          <w:right w:val="nil"/>
          <w:between w:val="nil"/>
        </w:pBdr>
        <w:spacing w:after="0" w:line="240" w:lineRule="auto"/>
        <w:ind w:left="0" w:right="760" w:hanging="2"/>
        <w:jc w:val="both"/>
        <w:rPr>
          <w:rFonts w:ascii="Arial" w:eastAsia="Arial" w:hAnsi="Arial" w:cs="Arial"/>
          <w:color w:val="000000"/>
          <w:sz w:val="24"/>
          <w:szCs w:val="24"/>
        </w:rPr>
      </w:pPr>
      <w:r>
        <w:rPr>
          <w:rFonts w:ascii="Arial" w:eastAsia="Arial" w:hAnsi="Arial" w:cs="Arial"/>
          <w:color w:val="000000"/>
          <w:sz w:val="24"/>
          <w:szCs w:val="24"/>
        </w:rPr>
        <w:t>TRANSITORIO. Autorizar que las personas estudiantes matriculadas en programas regulares de pregrado, grado, posgrado o de extensión, puedan diferir el 100% del valor de los aranceles a pagar durante los períodos académicos del año 2021.</w:t>
      </w:r>
    </w:p>
    <w:p w:rsidR="00895731" w:rsidRDefault="00895731">
      <w:pPr>
        <w:pBdr>
          <w:top w:val="nil"/>
          <w:left w:val="nil"/>
          <w:bottom w:val="nil"/>
          <w:right w:val="nil"/>
          <w:between w:val="nil"/>
        </w:pBdr>
        <w:spacing w:after="0" w:line="240" w:lineRule="auto"/>
        <w:ind w:left="0" w:right="760" w:hanging="2"/>
        <w:jc w:val="both"/>
        <w:rPr>
          <w:rFonts w:ascii="Times New Roman" w:eastAsia="Times New Roman" w:hAnsi="Times New Roman" w:cs="Times New Roman"/>
          <w:color w:val="000000"/>
          <w:sz w:val="24"/>
          <w:szCs w:val="24"/>
        </w:rPr>
      </w:pPr>
    </w:p>
    <w:p w:rsidR="00895731" w:rsidRDefault="000A0A96">
      <w:pPr>
        <w:pBdr>
          <w:top w:val="nil"/>
          <w:left w:val="nil"/>
          <w:bottom w:val="nil"/>
          <w:right w:val="nil"/>
          <w:between w:val="nil"/>
        </w:pBdr>
        <w:spacing w:after="0" w:line="240" w:lineRule="auto"/>
        <w:ind w:left="0" w:right="760" w:hanging="2"/>
        <w:jc w:val="both"/>
        <w:rPr>
          <w:rFonts w:ascii="Arial" w:eastAsia="Arial" w:hAnsi="Arial" w:cs="Arial"/>
          <w:color w:val="000000"/>
          <w:sz w:val="24"/>
          <w:szCs w:val="24"/>
        </w:rPr>
      </w:pPr>
      <w:r>
        <w:rPr>
          <w:rFonts w:ascii="Arial" w:eastAsia="Arial" w:hAnsi="Arial" w:cs="Arial"/>
          <w:color w:val="000000"/>
          <w:sz w:val="24"/>
          <w:szCs w:val="24"/>
        </w:rPr>
        <w:t>Solicitar solament</w:t>
      </w:r>
      <w:r>
        <w:rPr>
          <w:rFonts w:ascii="Arial" w:eastAsia="Arial" w:hAnsi="Arial" w:cs="Arial"/>
          <w:color w:val="000000"/>
          <w:sz w:val="24"/>
          <w:szCs w:val="24"/>
        </w:rPr>
        <w:t>e los siguientes requisitos para acceder a este beneficio: ser estudiante regular, haber cursado al menos un período académico en la UNED, no tener deudas pendientes con la Universidad o contar con un arreglo de pago. Asimismo, se simplifican los requerimi</w:t>
      </w:r>
      <w:r>
        <w:rPr>
          <w:rFonts w:ascii="Arial" w:eastAsia="Arial" w:hAnsi="Arial" w:cs="Arial"/>
          <w:color w:val="000000"/>
          <w:sz w:val="24"/>
          <w:szCs w:val="24"/>
        </w:rPr>
        <w:t>entos indicados en el artículo 8, para que se utilice letra de cambio en todos los casos y se pueda prescindir de la necesidad de contar con una persona fiadora si la Oficina de Tesorería no lo considera necesario.</w:t>
      </w:r>
    </w:p>
    <w:p w:rsidR="00895731" w:rsidRDefault="00895731">
      <w:pPr>
        <w:pBdr>
          <w:top w:val="nil"/>
          <w:left w:val="nil"/>
          <w:bottom w:val="nil"/>
          <w:right w:val="nil"/>
          <w:between w:val="nil"/>
        </w:pBdr>
        <w:spacing w:after="0" w:line="240" w:lineRule="auto"/>
        <w:ind w:left="0" w:right="760" w:hanging="2"/>
        <w:jc w:val="both"/>
        <w:rPr>
          <w:rFonts w:ascii="Arial" w:eastAsia="Arial" w:hAnsi="Arial" w:cs="Arial"/>
          <w:color w:val="000000"/>
          <w:sz w:val="24"/>
          <w:szCs w:val="24"/>
        </w:rPr>
      </w:pPr>
    </w:p>
    <w:p w:rsidR="00895731" w:rsidRDefault="00895731">
      <w:pPr>
        <w:pBdr>
          <w:top w:val="nil"/>
          <w:left w:val="nil"/>
          <w:bottom w:val="nil"/>
          <w:right w:val="nil"/>
          <w:between w:val="nil"/>
        </w:pBdr>
        <w:spacing w:after="0" w:line="252" w:lineRule="auto"/>
        <w:ind w:right="758"/>
        <w:jc w:val="both"/>
        <w:rPr>
          <w:rFonts w:ascii="Arial" w:eastAsia="Arial" w:hAnsi="Arial" w:cs="Arial"/>
          <w:color w:val="000000"/>
          <w:sz w:val="10"/>
          <w:szCs w:val="10"/>
        </w:rPr>
      </w:pPr>
    </w:p>
    <w:p w:rsidR="00895731" w:rsidRDefault="000A0A96">
      <w:pPr>
        <w:numPr>
          <w:ilvl w:val="0"/>
          <w:numId w:val="2"/>
        </w:numPr>
        <w:pBdr>
          <w:top w:val="nil"/>
          <w:left w:val="nil"/>
          <w:bottom w:val="nil"/>
          <w:right w:val="nil"/>
          <w:between w:val="nil"/>
        </w:pBdr>
        <w:spacing w:after="0" w:line="240" w:lineRule="auto"/>
        <w:ind w:left="0" w:right="283" w:hanging="2"/>
        <w:jc w:val="both"/>
        <w:rPr>
          <w:color w:val="000000"/>
        </w:rPr>
      </w:pPr>
      <w:r>
        <w:rPr>
          <w:rFonts w:ascii="Arial" w:eastAsia="Arial" w:hAnsi="Arial" w:cs="Arial"/>
          <w:b/>
          <w:color w:val="000000"/>
          <w:sz w:val="24"/>
          <w:szCs w:val="24"/>
        </w:rPr>
        <w:t>Aprobar la disminución de un 20% de los aranceles correspondientes a todos los cursos incluidos en la oferta ordinaria del primer cuatrimestre 2021 de los Programas: Desarrollo Gerencial, Desarrollo Educativo, Persona Adulta Mayor, Centro de Idiomas y el Á</w:t>
      </w:r>
      <w:r>
        <w:rPr>
          <w:rFonts w:ascii="Arial" w:eastAsia="Arial" w:hAnsi="Arial" w:cs="Arial"/>
          <w:b/>
          <w:color w:val="000000"/>
          <w:sz w:val="24"/>
          <w:szCs w:val="24"/>
        </w:rPr>
        <w:t>rea de Comunicación y Tecnología de la Dirección de Extensión Universitaria.</w:t>
      </w:r>
    </w:p>
    <w:p w:rsidR="00895731" w:rsidRDefault="00895731">
      <w:pPr>
        <w:pBdr>
          <w:top w:val="nil"/>
          <w:left w:val="nil"/>
          <w:bottom w:val="nil"/>
          <w:right w:val="nil"/>
          <w:between w:val="nil"/>
        </w:pBdr>
        <w:spacing w:after="0" w:line="240" w:lineRule="auto"/>
        <w:ind w:left="0" w:right="333" w:hanging="2"/>
        <w:rPr>
          <w:rFonts w:ascii="Arial" w:eastAsia="Arial" w:hAnsi="Arial" w:cs="Arial"/>
          <w:color w:val="000000"/>
          <w:sz w:val="24"/>
          <w:szCs w:val="24"/>
        </w:rPr>
      </w:pPr>
    </w:p>
    <w:p w:rsidR="00895731" w:rsidRDefault="000A0A96">
      <w:pPr>
        <w:pBdr>
          <w:top w:val="nil"/>
          <w:left w:val="nil"/>
          <w:bottom w:val="nil"/>
          <w:right w:val="nil"/>
          <w:between w:val="nil"/>
        </w:pBdr>
        <w:spacing w:after="0" w:line="240" w:lineRule="auto"/>
        <w:ind w:left="0" w:right="333" w:hanging="2"/>
        <w:rPr>
          <w:rFonts w:ascii="Arial" w:eastAsia="Arial" w:hAnsi="Arial" w:cs="Arial"/>
          <w:color w:val="000000"/>
          <w:sz w:val="24"/>
          <w:szCs w:val="24"/>
        </w:rPr>
      </w:pPr>
      <w:r>
        <w:rPr>
          <w:rFonts w:ascii="Arial" w:eastAsia="Arial" w:hAnsi="Arial" w:cs="Arial"/>
          <w:b/>
          <w:color w:val="000000"/>
          <w:sz w:val="24"/>
          <w:szCs w:val="24"/>
        </w:rPr>
        <w:t>ACUERDO FIRME</w:t>
      </w:r>
    </w:p>
    <w:p w:rsidR="00895731" w:rsidRDefault="00895731">
      <w:pPr>
        <w:pBdr>
          <w:top w:val="nil"/>
          <w:left w:val="nil"/>
          <w:bottom w:val="nil"/>
          <w:right w:val="nil"/>
          <w:between w:val="nil"/>
        </w:pBdr>
        <w:spacing w:after="0" w:line="240" w:lineRule="auto"/>
        <w:ind w:left="0" w:right="333" w:hanging="2"/>
        <w:rPr>
          <w:rFonts w:ascii="Arial" w:eastAsia="Arial" w:hAnsi="Arial" w:cs="Arial"/>
          <w:color w:val="000000"/>
          <w:sz w:val="24"/>
          <w:szCs w:val="24"/>
        </w:rPr>
      </w:pPr>
    </w:p>
    <w:p w:rsidR="00895731" w:rsidRDefault="000A0A96">
      <w:pPr>
        <w:tabs>
          <w:tab w:val="left" w:pos="709"/>
        </w:tabs>
        <w:spacing w:after="0" w:line="240" w:lineRule="auto"/>
        <w:ind w:left="0" w:right="-1" w:hanging="2"/>
        <w:jc w:val="both"/>
        <w:rPr>
          <w:rFonts w:ascii="Arial" w:eastAsia="Arial" w:hAnsi="Arial" w:cs="Arial"/>
        </w:rPr>
      </w:pPr>
      <w:r>
        <w:rPr>
          <w:rFonts w:ascii="Arial" w:eastAsia="Arial" w:hAnsi="Arial" w:cs="Arial"/>
        </w:rPr>
        <w:t>ppv***</w:t>
      </w:r>
    </w:p>
    <w:p w:rsidR="00895731" w:rsidRDefault="000A0A96">
      <w:pPr>
        <w:pBdr>
          <w:top w:val="nil"/>
          <w:left w:val="nil"/>
          <w:bottom w:val="nil"/>
          <w:right w:val="nil"/>
          <w:between w:val="nil"/>
        </w:pBdr>
        <w:spacing w:after="0" w:line="240" w:lineRule="auto"/>
        <w:ind w:left="0" w:right="333" w:hanging="2"/>
        <w:jc w:val="both"/>
        <w:rPr>
          <w:rFonts w:ascii="Arial" w:eastAsia="Arial" w:hAnsi="Arial" w:cs="Arial"/>
          <w:color w:val="000000"/>
        </w:rPr>
      </w:pPr>
      <w:r>
        <w:rPr>
          <w:rFonts w:ascii="Arial" w:eastAsia="Arial" w:hAnsi="Arial" w:cs="Arial"/>
          <w:color w:val="000000"/>
        </w:rPr>
        <w:t>C: Auditoría / Francisco Durán Montoya director a.i. de Tecnología de Información y Comunicaciones / Grace Alfaro Alpízar jefa a.i. Oficina de Presupuesto.</w:t>
      </w:r>
    </w:p>
    <w:p w:rsidR="00895731" w:rsidRDefault="00895731">
      <w:pPr>
        <w:tabs>
          <w:tab w:val="left" w:pos="709"/>
        </w:tabs>
        <w:spacing w:after="0" w:line="240" w:lineRule="auto"/>
        <w:ind w:left="0" w:right="-1" w:hanging="2"/>
        <w:jc w:val="both"/>
        <w:rPr>
          <w:rFonts w:ascii="Arial" w:eastAsia="Arial" w:hAnsi="Arial" w:cs="Arial"/>
          <w:sz w:val="20"/>
          <w:szCs w:val="20"/>
        </w:rPr>
      </w:pPr>
    </w:p>
    <w:p w:rsidR="00895731" w:rsidRDefault="000A0A96">
      <w:pPr>
        <w:tabs>
          <w:tab w:val="left" w:pos="709"/>
        </w:tabs>
        <w:spacing w:after="0" w:line="240" w:lineRule="auto"/>
        <w:ind w:left="0" w:right="-1" w:hanging="2"/>
        <w:jc w:val="both"/>
        <w:rPr>
          <w:rFonts w:ascii="Arial" w:eastAsia="Arial" w:hAnsi="Arial" w:cs="Arial"/>
          <w:sz w:val="20"/>
          <w:szCs w:val="20"/>
        </w:rPr>
      </w:pPr>
      <w:bookmarkStart w:id="4" w:name="_3znysh7" w:colFirst="0" w:colLast="0"/>
      <w:bookmarkEnd w:id="4"/>
      <w:r>
        <w:rPr>
          <w:rFonts w:ascii="Arial" w:eastAsia="Arial" w:hAnsi="Arial" w:cs="Arial"/>
          <w:noProof/>
          <w:sz w:val="20"/>
          <w:szCs w:val="20"/>
          <w:lang w:eastAsia="es-CR"/>
        </w:rPr>
        <w:drawing>
          <wp:inline distT="0" distB="0" distL="114300" distR="114300">
            <wp:extent cx="965200" cy="625475"/>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65200" cy="625475"/>
                    </a:xfrm>
                    <a:prstGeom prst="rect">
                      <a:avLst/>
                    </a:prstGeom>
                    <a:ln/>
                  </pic:spPr>
                </pic:pic>
              </a:graphicData>
            </a:graphic>
          </wp:inline>
        </w:drawing>
      </w:r>
    </w:p>
    <w:sectPr w:rsidR="00895731">
      <w:headerReference w:type="default" r:id="rId9"/>
      <w:headerReference w:type="first" r:id="rId10"/>
      <w:pgSz w:w="12240" w:h="15840"/>
      <w:pgMar w:top="646" w:right="1467"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A96" w:rsidRDefault="000A0A96">
      <w:pPr>
        <w:spacing w:after="0" w:line="240" w:lineRule="auto"/>
        <w:ind w:left="0" w:hanging="2"/>
      </w:pPr>
      <w:r>
        <w:separator/>
      </w:r>
    </w:p>
  </w:endnote>
  <w:endnote w:type="continuationSeparator" w:id="0">
    <w:p w:rsidR="000A0A96" w:rsidRDefault="000A0A9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Noto Sans Symbols">
    <w:altName w:val="MV Bol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A96" w:rsidRDefault="000A0A96">
      <w:pPr>
        <w:spacing w:after="0" w:line="240" w:lineRule="auto"/>
        <w:ind w:left="0" w:hanging="2"/>
      </w:pPr>
      <w:r>
        <w:separator/>
      </w:r>
    </w:p>
  </w:footnote>
  <w:footnote w:type="continuationSeparator" w:id="0">
    <w:p w:rsidR="000A0A96" w:rsidRDefault="000A0A9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31" w:rsidRDefault="00895731">
    <w:pPr>
      <w:widowControl w:val="0"/>
      <w:pBdr>
        <w:top w:val="nil"/>
        <w:left w:val="nil"/>
        <w:bottom w:val="nil"/>
        <w:right w:val="nil"/>
        <w:between w:val="nil"/>
      </w:pBdr>
      <w:spacing w:after="0" w:line="276" w:lineRule="auto"/>
      <w:ind w:left="0" w:hanging="2"/>
      <w:rPr>
        <w:rFonts w:ascii="Arial" w:eastAsia="Arial" w:hAnsi="Arial" w:cs="Arial"/>
        <w:sz w:val="20"/>
        <w:szCs w:val="20"/>
      </w:rPr>
    </w:pPr>
  </w:p>
  <w:tbl>
    <w:tblPr>
      <w:tblStyle w:val="a"/>
      <w:tblW w:w="8007" w:type="dxa"/>
      <w:tblInd w:w="0" w:type="dxa"/>
      <w:tblLayout w:type="fixed"/>
      <w:tblLook w:val="0000" w:firstRow="0" w:lastRow="0" w:firstColumn="0" w:lastColumn="0" w:noHBand="0" w:noVBand="0"/>
    </w:tblPr>
    <w:tblGrid>
      <w:gridCol w:w="8007"/>
    </w:tblGrid>
    <w:tr w:rsidR="00895731">
      <w:tc>
        <w:tcPr>
          <w:tcW w:w="8007" w:type="dxa"/>
        </w:tcPr>
        <w:p w:rsidR="00895731" w:rsidRDefault="00895731">
          <w:pPr>
            <w:pBdr>
              <w:top w:val="nil"/>
              <w:left w:val="nil"/>
              <w:bottom w:val="nil"/>
              <w:right w:val="nil"/>
              <w:between w:val="nil"/>
            </w:pBdr>
            <w:spacing w:after="0" w:line="240" w:lineRule="auto"/>
            <w:ind w:left="2" w:hanging="4"/>
            <w:rPr>
              <w:rFonts w:ascii="Book Antiqua" w:eastAsia="Book Antiqua" w:hAnsi="Book Antiqua" w:cs="Book Antiqua"/>
              <w:color w:val="000000"/>
              <w:sz w:val="36"/>
              <w:szCs w:val="36"/>
            </w:rPr>
          </w:pPr>
        </w:p>
      </w:tc>
    </w:tr>
  </w:tbl>
  <w:p w:rsidR="00895731" w:rsidRDefault="00895731">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31" w:rsidRDefault="00895731">
    <w:pPr>
      <w:widowControl w:val="0"/>
      <w:pBdr>
        <w:top w:val="nil"/>
        <w:left w:val="nil"/>
        <w:bottom w:val="nil"/>
        <w:right w:val="nil"/>
        <w:between w:val="nil"/>
      </w:pBdr>
      <w:spacing w:after="0" w:line="276" w:lineRule="auto"/>
      <w:ind w:left="0" w:hanging="2"/>
      <w:rPr>
        <w:color w:val="000000"/>
      </w:rPr>
    </w:pPr>
  </w:p>
  <w:tbl>
    <w:tblPr>
      <w:tblStyle w:val="a0"/>
      <w:tblW w:w="8007" w:type="dxa"/>
      <w:tblInd w:w="0" w:type="dxa"/>
      <w:tblLayout w:type="fixed"/>
      <w:tblLook w:val="0000" w:firstRow="0" w:lastRow="0" w:firstColumn="0" w:lastColumn="0" w:noHBand="0" w:noVBand="0"/>
    </w:tblPr>
    <w:tblGrid>
      <w:gridCol w:w="8007"/>
    </w:tblGrid>
    <w:tr w:rsidR="00895731">
      <w:tc>
        <w:tcPr>
          <w:tcW w:w="8007" w:type="dxa"/>
        </w:tcPr>
        <w:p w:rsidR="00895731" w:rsidRDefault="000A0A96">
          <w:pPr>
            <w:tabs>
              <w:tab w:val="center" w:pos="4419"/>
              <w:tab w:val="right" w:pos="9214"/>
            </w:tabs>
            <w:spacing w:after="0" w:line="240" w:lineRule="auto"/>
            <w:ind w:left="0" w:right="-426" w:hanging="2"/>
            <w:jc w:val="center"/>
            <w:rPr>
              <w:rFonts w:ascii="Book Antiqua" w:eastAsia="Book Antiqua" w:hAnsi="Book Antiqua" w:cs="Book Antiqua"/>
              <w:sz w:val="36"/>
              <w:szCs w:val="36"/>
            </w:rPr>
          </w:pPr>
          <w:r>
            <w:rPr>
              <w:noProof/>
              <w:lang w:eastAsia="es-CR"/>
            </w:rPr>
            <w:drawing>
              <wp:anchor distT="0" distB="0" distL="0" distR="0" simplePos="0" relativeHeight="251658240" behindDoc="1" locked="0" layoutInCell="1" hidden="0" allowOverlap="1">
                <wp:simplePos x="0" y="0"/>
                <wp:positionH relativeFrom="margin">
                  <wp:posOffset>4743450</wp:posOffset>
                </wp:positionH>
                <wp:positionV relativeFrom="paragraph">
                  <wp:posOffset>93345</wp:posOffset>
                </wp:positionV>
                <wp:extent cx="824865" cy="1000760"/>
                <wp:effectExtent l="0" t="0" r="0" b="0"/>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4865" cy="1000760"/>
                        </a:xfrm>
                        <a:prstGeom prst="rect">
                          <a:avLst/>
                        </a:prstGeom>
                        <a:ln/>
                      </pic:spPr>
                    </pic:pic>
                  </a:graphicData>
                </a:graphic>
              </wp:anchor>
            </w:drawing>
          </w:r>
        </w:p>
        <w:p w:rsidR="00895731" w:rsidRDefault="000A0A96">
          <w:pPr>
            <w:tabs>
              <w:tab w:val="center" w:pos="4419"/>
              <w:tab w:val="right" w:pos="8838"/>
            </w:tabs>
            <w:spacing w:after="0" w:line="240" w:lineRule="auto"/>
            <w:ind w:left="2" w:hanging="4"/>
            <w:jc w:val="center"/>
            <w:rPr>
              <w:rFonts w:ascii="Book Antiqua" w:eastAsia="Book Antiqua" w:hAnsi="Book Antiqua" w:cs="Book Antiqua"/>
              <w:sz w:val="36"/>
              <w:szCs w:val="36"/>
            </w:rPr>
          </w:pPr>
          <w:r>
            <w:rPr>
              <w:rFonts w:ascii="Book Antiqua" w:eastAsia="Book Antiqua" w:hAnsi="Book Antiqua" w:cs="Book Antiqua"/>
              <w:b/>
              <w:i/>
              <w:sz w:val="36"/>
              <w:szCs w:val="36"/>
            </w:rPr>
            <w:t>UNIVERSIDAD ESTATAL A DISTANCIA Consejo Universitario</w:t>
          </w:r>
        </w:p>
      </w:tc>
    </w:tr>
  </w:tbl>
  <w:p w:rsidR="00895731" w:rsidRDefault="00895731">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D5A"/>
    <w:multiLevelType w:val="multilevel"/>
    <w:tmpl w:val="AEE2873A"/>
    <w:lvl w:ilvl="0">
      <w:start w:val="1"/>
      <w:numFmt w:val="lowerLetter"/>
      <w:lvlText w:val="%1)"/>
      <w:lvlJc w:val="left"/>
      <w:pPr>
        <w:ind w:left="3196" w:hanging="360"/>
      </w:pPr>
      <w:rPr>
        <w:rFonts w:ascii="Arial" w:eastAsia="Arial" w:hAnsi="Arial" w:cs="Arial"/>
        <w:b/>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 w15:restartNumberingAfterBreak="0">
    <w:nsid w:val="1CB807D5"/>
    <w:multiLevelType w:val="multilevel"/>
    <w:tmpl w:val="40EABF3E"/>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 w15:restartNumberingAfterBreak="0">
    <w:nsid w:val="2E134B86"/>
    <w:multiLevelType w:val="multilevel"/>
    <w:tmpl w:val="2DD6CEF2"/>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326525"/>
    <w:multiLevelType w:val="multilevel"/>
    <w:tmpl w:val="0AD04D46"/>
    <w:lvl w:ilvl="0">
      <w:start w:val="1"/>
      <w:numFmt w:val="bullet"/>
      <w:lvlText w:val="●"/>
      <w:lvlJc w:val="left"/>
      <w:pPr>
        <w:ind w:left="6086"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31"/>
    <w:rsid w:val="000A0A96"/>
    <w:rsid w:val="00895731"/>
    <w:rsid w:val="00DB65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8C4DA-4EF7-4A16-B2EC-5CFD77C3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pPr>
      <w:spacing w:before="100" w:beforeAutospacing="1" w:after="100" w:afterAutospacing="1" w:line="240" w:lineRule="auto"/>
    </w:pPr>
    <w:rPr>
      <w:rFonts w:ascii="Times New Roman" w:eastAsia="Times New Roman" w:hAnsi="Times New Roman"/>
      <w:b/>
      <w:bCs/>
      <w:kern w:val="36"/>
      <w:sz w:val="48"/>
      <w:szCs w:val="48"/>
      <w:lang w:eastAsia="es-CR"/>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Textodebloque">
    <w:name w:val="Block Text"/>
    <w:basedOn w:val="Normal"/>
    <w:pPr>
      <w:spacing w:after="0" w:line="240" w:lineRule="auto"/>
      <w:ind w:left="567" w:right="282"/>
      <w:jc w:val="both"/>
    </w:pPr>
    <w:rPr>
      <w:rFonts w:ascii="Arial" w:eastAsia="Times New Roman" w:hAnsi="Arial" w:cs="Times New Roman"/>
      <w:b/>
      <w:sz w:val="24"/>
      <w:szCs w:val="20"/>
      <w:lang w:eastAsia="es-ES"/>
    </w:rPr>
  </w:style>
  <w:style w:type="paragraph" w:styleId="Prrafodelista">
    <w:name w:val="List Paragraph"/>
    <w:basedOn w:val="Normal"/>
    <w:pPr>
      <w:spacing w:after="200" w:line="276" w:lineRule="auto"/>
      <w:ind w:left="720" w:right="567"/>
      <w:contextualSpacing/>
      <w:jc w:val="both"/>
    </w:pPr>
    <w:rPr>
      <w:rFonts w:cs="Times New Roman"/>
      <w:lang w:val="es-ES"/>
    </w:rPr>
  </w:style>
  <w:style w:type="character" w:customStyle="1" w:styleId="PrrafodelistaCar">
    <w:name w:val="Párrafo de lista Car"/>
    <w:rPr>
      <w:rFonts w:ascii="Calibri" w:eastAsia="Calibri" w:hAnsi="Calibri" w:cs="Times New Roman"/>
      <w:w w:val="100"/>
      <w:position w:val="-1"/>
      <w:effect w:val="none"/>
      <w:vertAlign w:val="baseline"/>
      <w:cs w:val="0"/>
      <w:em w:val="none"/>
      <w:lang w:val="es-ES"/>
    </w:rPr>
  </w:style>
  <w:style w:type="paragraph" w:styleId="Sangra2detindependiente">
    <w:name w:val="Body Text Indent 2"/>
    <w:basedOn w:val="Normal"/>
    <w:pPr>
      <w:spacing w:after="0" w:line="240" w:lineRule="auto"/>
      <w:ind w:left="1418" w:hanging="709"/>
      <w:jc w:val="both"/>
    </w:pPr>
    <w:rPr>
      <w:rFonts w:ascii="Arial" w:eastAsia="Times New Roman" w:hAnsi="Arial" w:cs="Times New Roman"/>
      <w:b/>
      <w:sz w:val="24"/>
      <w:szCs w:val="20"/>
      <w:lang w:val="es-ES" w:eastAsia="es-ES"/>
    </w:rPr>
  </w:style>
  <w:style w:type="character" w:customStyle="1" w:styleId="Sangra2detindependienteCar">
    <w:name w:val="Sangría 2 de t. independiente Car"/>
    <w:rPr>
      <w:rFonts w:ascii="Arial" w:eastAsia="Times New Roman" w:hAnsi="Arial" w:cs="Times New Roman"/>
      <w:b/>
      <w:w w:val="100"/>
      <w:position w:val="-1"/>
      <w:sz w:val="24"/>
      <w:szCs w:val="20"/>
      <w:effect w:val="none"/>
      <w:vertAlign w:val="baseline"/>
      <w:cs w:val="0"/>
      <w:em w:val="none"/>
      <w:lang w:val="es-ES" w:eastAsia="es-ES"/>
    </w:rPr>
  </w:style>
  <w:style w:type="paragraph" w:customStyle="1" w:styleId="Textonotapietextonotaalpie">
    <w:name w:val="Texto nota pie;texto nota al pie"/>
    <w:basedOn w:val="Normal"/>
    <w:qFormat/>
    <w:pPr>
      <w:spacing w:after="0" w:line="240" w:lineRule="auto"/>
      <w:ind w:left="567" w:right="567"/>
      <w:jc w:val="both"/>
    </w:pPr>
    <w:rPr>
      <w:rFonts w:ascii="Times New Roman" w:hAnsi="Times New Roman" w:cs="Times New Roman"/>
      <w:sz w:val="20"/>
      <w:szCs w:val="20"/>
      <w:lang w:val="es-ES" w:eastAsia="es-ES"/>
    </w:rPr>
  </w:style>
  <w:style w:type="character" w:customStyle="1" w:styleId="TextonotapieCartextonotaalpieCar">
    <w:name w:val="Texto nota pie Car;texto nota al pie Car"/>
    <w:rPr>
      <w:rFonts w:ascii="Times New Roman" w:eastAsia="Calibri" w:hAnsi="Times New Roman" w:cs="Times New Roman"/>
      <w:w w:val="100"/>
      <w:position w:val="-1"/>
      <w:sz w:val="20"/>
      <w:szCs w:val="20"/>
      <w:effect w:val="none"/>
      <w:vertAlign w:val="baseline"/>
      <w:cs w:val="0"/>
      <w:em w:val="none"/>
      <w:lang w:val="es-ES" w:eastAsia="es-ES"/>
    </w:rPr>
  </w:style>
  <w:style w:type="character" w:styleId="Refdenotaalpie">
    <w:name w:val="footnote reference"/>
    <w:qFormat/>
    <w:rPr>
      <w:w w:val="100"/>
      <w:position w:val="-1"/>
      <w:effect w:val="none"/>
      <w:vertAlign w:val="superscript"/>
      <w:cs w:val="0"/>
      <w:em w:val="none"/>
    </w:rPr>
  </w:style>
  <w:style w:type="paragraph" w:styleId="Textoindependiente">
    <w:name w:val="Body Text"/>
    <w:basedOn w:val="Normal"/>
    <w:qFormat/>
    <w:pPr>
      <w:spacing w:after="120"/>
    </w:pPr>
  </w:style>
  <w:style w:type="character" w:customStyle="1" w:styleId="TextoindependienteCar">
    <w:name w:val="Texto independiente Car"/>
    <w:basedOn w:val="Fuentedeprrafopredeter"/>
    <w:rPr>
      <w:w w:val="100"/>
      <w:position w:val="-1"/>
      <w:effect w:val="none"/>
      <w:vertAlign w:val="baseline"/>
      <w:cs w:val="0"/>
      <w:em w:val="none"/>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val="en-US" w:eastAsia="en-US"/>
    </w:rPr>
  </w:style>
  <w:style w:type="character" w:customStyle="1" w:styleId="Ttulo1Car">
    <w:name w:val="Título 1 Car"/>
    <w:rPr>
      <w:rFonts w:ascii="Times New Roman" w:eastAsia="Times New Roman" w:hAnsi="Times New Roman"/>
      <w:b/>
      <w:bCs/>
      <w:w w:val="100"/>
      <w:kern w:val="36"/>
      <w:position w:val="-1"/>
      <w:sz w:val="48"/>
      <w:szCs w:val="48"/>
      <w:effect w:val="none"/>
      <w:vertAlign w:val="baseline"/>
      <w:cs w:val="0"/>
      <w:em w:val="none"/>
    </w:rPr>
  </w:style>
  <w:style w:type="paragraph" w:styleId="Listaconvietas">
    <w:name w:val="List Bullet"/>
    <w:basedOn w:val="Normal"/>
    <w:qFormat/>
    <w:pPr>
      <w:numPr>
        <w:numId w:val="4"/>
      </w:numPr>
      <w:spacing w:after="200" w:line="276" w:lineRule="auto"/>
      <w:ind w:left="-1" w:hanging="1"/>
      <w:contextualSpacing/>
    </w:pPr>
  </w:style>
  <w:style w:type="paragraph" w:customStyle="1" w:styleId="xmsonormal">
    <w:name w:val="x_msonormal"/>
    <w:basedOn w:val="Normal"/>
    <w:pPr>
      <w:spacing w:after="0" w:line="240" w:lineRule="auto"/>
    </w:pPr>
    <w:rPr>
      <w:rFonts w:ascii="Times New Roman" w:hAnsi="Times New Roman"/>
      <w:sz w:val="24"/>
      <w:szCs w:val="24"/>
      <w:lang w:eastAsia="es-C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shing@uned.ac.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4684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Saborio Alvarez</dc:creator>
  <cp:lastModifiedBy>Susana Saborio Alvarez</cp:lastModifiedBy>
  <cp:revision>2</cp:revision>
  <dcterms:created xsi:type="dcterms:W3CDTF">2020-12-16T16:24:00Z</dcterms:created>
  <dcterms:modified xsi:type="dcterms:W3CDTF">2020-12-16T16:24:00Z</dcterms:modified>
</cp:coreProperties>
</file>